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Maintenance, Security &amp; Change Control</w:t>
      </w:r>
    </w:p>
    <w:p>
      <w:r>
        <w:t>USCN-PRO-003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Periodic checks</w:t>
      </w:r>
    </w:p>
    <w:p>
      <w:r>
        <w:t>Use asset register for camera ID, firmware, physical condition, encrypted local storage, power/network, signage, privacy masks and retention verification.</w:t>
      </w:r>
    </w:p>
    <w:p>
      <w:r>
        <w:t>Authorised staff log inspection date, defects, actions, responsible person and follow-up; host may report but must not administer camera.</w:t>
      </w:r>
    </w:p>
    <w:p>
      <w:pPr>
        <w:pStyle w:val="Heading1"/>
      </w:pPr>
      <w:r>
        <w:t>Changes</w:t>
      </w:r>
    </w:p>
    <w:p>
      <w:r>
        <w:t>Material field-of-view changes or relocation require revised privacy review/DPIA and approval before use.</w:t>
      </w:r>
    </w:p>
    <w:p>
      <w:r>
        <w:t>Network configuration is USCN-controlled with DPO reserved approvals; supplier remote access to live operational camera systems prohibited.</w:t>
      </w:r>
    </w:p>
    <w:p>
      <w:r>
        <w:t>Record security patches, firmware versions, maintenance windows, access authorisation and rollback details.</w:t>
      </w:r>
    </w:p>
    <w:p>
      <w:pPr>
        <w:pStyle w:val="Heading1"/>
      </w:pPr>
      <w:r>
        <w:t>Suspension</w:t>
      </w:r>
    </w:p>
    <w:p>
      <w:r>
        <w:t>Staff may suspend for suspected safety/security/privacy concern; DPO authorises restoration after privacy suspension. Distinguish public stream suspension from operational recording.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