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Data Subject Rights &amp; Footage Request Procedure</w:t>
      </w:r>
    </w:p>
    <w:p>
      <w:r>
        <w:t>USCN-PRO-002  •  Version 0.1 working template  •  Prepared 19 October 2026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status</w:t>
            </w:r>
          </w:p>
        </w:tc>
        <w:tc>
          <w:tcPr>
            <w:tcW w:type="dxa" w:w="4320"/>
          </w:tcPr>
          <w:p>
            <w:r>
              <w:t>WORKING TEMPLATE — not formally approved or executed</w:t>
            </w:r>
          </w:p>
        </w:tc>
      </w:tr>
      <w:tr>
        <w:tc>
          <w:tcPr>
            <w:tcW w:type="dxa" w:w="4320"/>
          </w:tcPr>
          <w:p>
            <w:r>
              <w:t>Controller</w:t>
            </w:r>
          </w:p>
        </w:tc>
        <w:tc>
          <w:tcPr>
            <w:tcW w:type="dxa" w:w="4320"/>
          </w:tcPr>
          <w:p>
            <w:r>
              <w:t>UK Safety Camera Network Ltd (USCN)</w:t>
            </w:r>
          </w:p>
        </w:tc>
      </w:tr>
      <w:tr>
        <w:tc>
          <w:tcPr>
            <w:tcW w:type="dxa" w:w="4320"/>
          </w:tcPr>
          <w:p>
            <w:r>
              <w:t>Data protection contact</w:t>
            </w:r>
          </w:p>
        </w:tc>
        <w:tc>
          <w:tcPr>
            <w:tcW w:type="dxa" w:w="4320"/>
          </w:tcPr>
          <w:p>
            <w:r>
              <w:t>data.protection@datahandling.uscn.org.uk</w:t>
            </w:r>
          </w:p>
        </w:tc>
      </w:tr>
      <w:tr>
        <w:tc>
          <w:tcPr>
            <w:tcW w:type="dxa" w:w="4320"/>
          </w:tcPr>
          <w:p>
            <w:r>
              <w:t>Postal contact</w:t>
            </w:r>
          </w:p>
        </w:tc>
        <w:tc>
          <w:tcPr>
            <w:tcW w:type="dxa" w:w="4320"/>
          </w:tcPr>
          <w:p>
            <w:r>
              <w:t>124 City Rd, Islington, London, EC1V 2NX</w:t>
            </w:r>
          </w:p>
        </w:tc>
      </w:tr>
      <w:tr>
        <w:tc>
          <w:tcPr>
            <w:tcW w:type="dxa" w:w="4320"/>
          </w:tcPr>
          <w:p>
            <w:r>
              <w:t>Source policies</w:t>
            </w:r>
          </w:p>
        </w:tc>
        <w:tc>
          <w:tcPr>
            <w:tcW w:type="dxa" w:w="4320"/>
          </w:tcPr>
          <w:p>
            <w:r>
              <w:t>USCN-POL-001 to 006; USCN-LIA-001 (approved 19 October 2026)</w:t>
            </w:r>
          </w:p>
        </w:tc>
      </w:tr>
      <w:tr>
        <w:tc>
          <w:tcPr>
            <w:tcW w:type="dxa" w:w="4320"/>
          </w:tcPr>
          <w:p>
            <w:r>
              <w:t>Important</w:t>
            </w:r>
          </w:p>
        </w:tc>
        <w:tc>
          <w:tcPr>
            <w:tcW w:type="dxa" w:w="4320"/>
          </w:tcPr>
          <w:p>
            <w:r>
              <w:t>No operationally commissioned cameras confirmed. No supplier processor status or international transfers verified.</w:t>
            </w:r>
          </w:p>
        </w:tc>
      </w:tr>
    </w:tbl>
    <w:p>
      <w:pPr>
        <w:pStyle w:val="Heading1"/>
      </w:pPr>
      <w:r>
        <w:t>Receive and triage</w:t>
      </w:r>
    </w:p>
    <w:p>
      <w:r>
        <w:t>Requests may arrive through data.protection@datahandling.uscn.org.uk or other USCN channels. Record date received, requester, request type, relevant camera/time, and any identity/authority verification required.</w:t>
      </w:r>
    </w:p>
    <w:p>
      <w:r>
        <w:t>Distinguish subject access from police/law-enforcement disclosure, host incident enquiry, preservation request and informal request; each has different grounds and restrictions.</w:t>
      </w:r>
    </w:p>
    <w:p>
      <w:pPr>
        <w:pStyle w:val="Heading1"/>
      </w:pPr>
      <w:r>
        <w:t>Search and decision</w:t>
      </w:r>
    </w:p>
    <w:p>
      <w:r>
        <w:t>DPO authorises access and disclosure under POL-002; search only proportionately; secure original footage; redact third-party images on copies where required.</w:t>
      </w:r>
    </w:p>
    <w:p>
      <w:r>
        <w:t>For subject access requests, apply the statutory deadline (normally one calendar month), any lawful extension or pause rules, exemptions and response requirements; do not assume every request is granted.</w:t>
      </w:r>
    </w:p>
    <w:p>
      <w:r>
        <w:t>Log search scope, outcome, exemptions, recipient, legal basis, disclosed copy and secure transfer method.</w:t>
      </w:r>
    </w:p>
    <w:p>
      <w:pPr>
        <w:pStyle w:val="Heading1"/>
      </w:pPr>
      <w:r>
        <w:t>Retention and closure</w:t>
      </w:r>
    </w:p>
    <w:p>
      <w:r>
        <w:t>Record lawful hold authorisation and review date; do not extend routine 31-day overwrite by default. Confirm response date, complaint route and audit trail.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USCN • Working document • Verify site-specific details and approvals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UK SAFETY CAMERA NETWORK LTD  |  GOVERNANCE &amp; OPERATIONS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