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Camera Commissioning &amp; DPO Authorisation</w:t>
      </w:r>
    </w:p>
    <w:p>
      <w:r>
        <w:t>USCN-FRM-001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Site and preconditions</w:t>
      </w:r>
    </w:p>
    <w:p>
      <w:r>
        <w:t>Camera ID [ ]; site [ ]; host agreement ref [ ]; permissions ref [ ]; installer [ ]; physical install date [ ].</w:t>
      </w:r>
    </w:p>
    <w:p>
      <w:pPr>
        <w:pStyle w:val="ListBullet"/>
      </w:pPr>
      <w:r>
        <w:t>☐ Property permissions verified  ☐ Signed hosting agreement  ☐ Safe mounting/electrical  ☐ Power/connectivity tested.</w:t>
      </w:r>
    </w:p>
    <w:p>
      <w:pPr>
        <w:pStyle w:val="ListBullet"/>
      </w:pPr>
      <w:r>
        <w:t>☐ Motion detection configured  ☐ No audio/ANPR/face recognition  ☐ Privacy masks/field-of-view checked.</w:t>
      </w:r>
    </w:p>
    <w:p>
      <w:pPr>
        <w:pStyle w:val="ListBullet"/>
      </w:pPr>
      <w:r>
        <w:t>☐ Local encryption/retention settings tested  ☐ No cloud operational recording  ☐ Admin credentials restricted  ☐ No host admin access.</w:t>
      </w:r>
    </w:p>
    <w:p>
      <w:pPr>
        <w:pStyle w:val="ListBullet"/>
      </w:pPr>
      <w:r>
        <w:t>☐ Signage visible before recording  ☐ Camera-specific transparency URL/QR verified  ☐ Maintenance and fault escalation arranged.</w:t>
      </w:r>
    </w:p>
    <w:p>
      <w:pPr>
        <w:pStyle w:val="Heading1"/>
      </w:pPr>
      <w:r>
        <w:t>Privacy and commissioning decision</w:t>
      </w:r>
    </w:p>
    <w:p>
      <w:r>
        <w:t>Camera-specific DPIA ID [ ]; DPO DPIA decision [ ]; outstanding mitigations [ ].</w:t>
      </w:r>
    </w:p>
    <w:p>
      <w:r>
        <w:t>Live-view privacy assessment ref [ ] and separate DPO approval [ ]; leave blank if not authorised.</w:t>
      </w:r>
    </w:p>
    <w:p>
      <w:r>
        <w:t>Commissioning decision: AUTHORISED / DEFERRED / REFUSED. Scope, conditions and reasons [ ].</w:t>
      </w:r>
    </w:p>
    <w:p>
      <w:r>
        <w:t>DPO Bertram Scanlon (or formally authorised successor): signature [ ]; decision date/time [ ]; operational start time [ ].</w:t>
      </w:r>
    </w:p>
    <w:p>
      <w:r>
        <w:t>No operational recording until affirmative authorisation and all conditions satisfied. Record first operational date for host removal-fee schedule.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