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Camera-Specific Data Protection Impact Assessment</w:t>
      </w:r>
    </w:p>
    <w:p>
      <w:r>
        <w:t>USCN-DPIA-T01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Identity and screening</w:t>
      </w:r>
    </w:p>
    <w:p>
      <w:r>
        <w:t>Camera ID [ ]; proposed site [ ]; host [ ]; assessor [ ]; version/date [ ]; planned coverage map/photo reference [ ].</w:t>
      </w:r>
    </w:p>
    <w:p>
      <w:r>
        <w:t>Status: proposed / physical installation only / commissioned [ ]; no commissioning is permitted on the strength of this template alone.</w:t>
      </w:r>
    </w:p>
    <w:p>
      <w:r>
        <w:t>Explain whether likely high risk, systematic monitoring of publicly accessible areas, vulnerable persons or sensitive locations; justify DPIA scope.</w:t>
      </w:r>
    </w:p>
    <w:p>
      <w:pPr>
        <w:pStyle w:val="Heading1"/>
      </w:pPr>
      <w:r>
        <w:t>Processing description and necessity</w:t>
      </w:r>
    </w:p>
    <w:p>
      <w:r>
        <w:t>Public safety objective and evidence [ ]; persons likely recorded [ ]; hours/motion triggers [ ]; boundaries/angles [ ].</w:t>
      </w:r>
    </w:p>
    <w:p>
      <w:r>
        <w:t>Data types: video imagery, timestamps and incident metadata; confirm no audio, ANPR, facial recognition, behavioural profiling or unrestricted PTZ.</w:t>
      </w:r>
    </w:p>
    <w:p>
      <w:r>
        <w:t>Article 6 basis: legitimate interests as applicable; link overarching LIA and perform site-specific balancing [ ].</w:t>
      </w:r>
    </w:p>
    <w:p>
      <w:r>
        <w:t>Potential criminal-offence data: assess Article 10/DPA 2018 Schedule 1 condition, safeguards and APD requirement separately [ ].</w:t>
      </w:r>
    </w:p>
    <w:p>
      <w:r>
        <w:t>Alternatives considered (lighting, signage, narrower field, masking, no camera) and reasons [ ].</w:t>
      </w:r>
    </w:p>
    <w:p>
      <w:pPr>
        <w:pStyle w:val="Heading1"/>
      </w:pPr>
      <w:r>
        <w:t>Data flows and safeguards</w:t>
      </w:r>
    </w:p>
    <w:p>
      <w:r>
        <w:t>Encrypted local SD/NVR; no operational cloud recording. Map access routes, network isolation, maintenance and any temporary disclosure copies [ ].</w:t>
      </w:r>
    </w:p>
    <w:p>
      <w:r>
        <w:t>Routine footage auto-overwritten no later than 31 days; DPO-authorised holds documented under POL-002.</w:t>
      </w:r>
    </w:p>
    <w:p>
      <w:r>
        <w:t>Signs in place before recording, QR to camera-specific page on transparency.uscn.org.uk; link to datahandling.uscn.org.uk.</w:t>
      </w:r>
    </w:p>
    <w:p>
      <w:r>
        <w:t>Host no admin access; supplier remote access to live operational camera systems prohibited.</w:t>
      </w:r>
    </w:p>
    <w:p>
      <w:pPr>
        <w:pStyle w:val="Heading1"/>
      </w:pPr>
      <w:r>
        <w:t>Risk assessment</w:t>
      </w:r>
    </w:p>
    <w:p>
      <w:r>
        <w:t>Risk 1: capture of private premises or sensitive areas — likelihood [ ] impact [ ] mitigation masking/repositioning [ ] residual [ ].</w:t>
      </w:r>
    </w:p>
    <w:p>
      <w:r>
        <w:t>Risk 2: over-collection or unjustified monitoring — likelihood [ ] impact [ ] mitigation motion zones/coverage [ ] residual [ ].</w:t>
      </w:r>
    </w:p>
    <w:p>
      <w:r>
        <w:t>Risk 3: unauthorised access or loss — likelihood [ ] impact [ ] mitigation encryption/access logging [ ] residual [ ].</w:t>
      </w:r>
    </w:p>
    <w:p>
      <w:r>
        <w:t>Risk 4: inadvertent disclosure/retention — likelihood [ ] impact [ ] mitigation DPO review/31-day overwrite [ ] residual [ ].</w:t>
      </w:r>
    </w:p>
    <w:p>
      <w:r>
        <w:t>Risk 5: public live viewing — assess separately under POL-005; do not treat this DPIA as stream approval.</w:t>
      </w:r>
    </w:p>
    <w:p>
      <w:pPr>
        <w:pStyle w:val="Heading1"/>
      </w:pPr>
      <w:r>
        <w:t>Decision and authorisation</w:t>
      </w:r>
    </w:p>
    <w:p>
      <w:r>
        <w:t>Consultations and host/public feedback [ ]; technical checks [ ]; outstanding actions [ ]; residual high risk [ ].</w:t>
      </w:r>
    </w:p>
    <w:p>
      <w:r>
        <w:t>If high risk cannot be mitigated, assess need for prior ICO consultation before processing.</w:t>
      </w:r>
    </w:p>
    <w:p>
      <w:r>
        <w:t>DPO DPIA decision: approve / conditional / reject [ ]; rationale [ ]; signature [ ]; date [ ].</w:t>
      </w:r>
    </w:p>
    <w:p>
      <w:r>
        <w:t>Operational commissioning requires separate signed USCN-FRM-001; DPIA approval alone is insufficient.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